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adjustRightInd w:val="0"/>
        <w:snapToGrid w:val="0"/>
        <w:spacing w:after="180"/>
        <w:ind w:right="1440" w:hanging="6"/>
        <w:jc w:val="center"/>
        <w:rPr>
          <w:rFonts w:ascii="微软雅黑" w:hAnsi="微软雅黑" w:eastAsia="微软雅黑" w:cs="微软雅黑"/>
          <w:sz w:val="36"/>
          <w:szCs w:val="36"/>
        </w:rPr>
      </w:pPr>
      <w:r>
        <w:rPr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-201930</wp:posOffset>
            </wp:positionV>
            <wp:extent cx="744855" cy="404495"/>
            <wp:effectExtent l="0" t="0" r="17145" b="14605"/>
            <wp:wrapNone/>
            <wp:docPr id="2" name="圖片 3" descr="D:\Data\LensOne\CompanyProfile-PPT\LensLogo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3" descr="D:\Data\LensOne\CompanyProfile-PPT\LensLogo2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40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color w:val="000000"/>
          <w:sz w:val="36"/>
          <w:szCs w:val="36"/>
          <w:shd w:val="clear" w:color="auto" w:fill="FFFFFF"/>
        </w:rPr>
        <w:t>冲突矿产采购政策</w:t>
      </w:r>
    </w:p>
    <w:p>
      <w:pPr>
        <w:widowControl/>
        <w:shd w:val="clear" w:color="auto" w:fill="FFFFFF"/>
        <w:adjustRightInd w:val="0"/>
        <w:snapToGrid w:val="0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蓝思科技股份有限公司及下属子公司、分公司（以下简称"本公司"）坚决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反对任何形式的武装冲突、非法采矿、强迫劳动、雇佣童工及环境破坏行为，承诺并致力于</w:t>
      </w:r>
      <w:r>
        <w:rPr>
          <w:rFonts w:hint="eastAsia" w:ascii="微软雅黑" w:hAnsi="微软雅黑" w:eastAsia="微软雅黑" w:cs="微软雅黑"/>
          <w:color w:val="auto"/>
          <w:kern w:val="0"/>
          <w:szCs w:val="21"/>
          <w:highlight w:val="none"/>
          <w:shd w:val="clear" w:color="auto" w:fill="FFFFFF"/>
          <w:lang w:bidi="ar"/>
        </w:rPr>
        <w:t>依据本公司供应链调查机制及相关管理要求，推动供应商以负责任的方式采购生产中使用的</w:t>
      </w:r>
      <w:r>
        <w:rPr>
          <w:rFonts w:hint="eastAsia" w:ascii="微软雅黑" w:hAnsi="微软雅黑" w:eastAsia="微软雅黑" w:cs="微软雅黑"/>
          <w:color w:val="auto"/>
          <w:szCs w:val="21"/>
          <w:highlight w:val="none"/>
        </w:rPr>
        <w:t>锡、钽、钨、金（3TG）及钴、云母、镍、锂</w:t>
      </w:r>
      <w:r>
        <w:rPr>
          <w:rFonts w:hint="eastAsia" w:ascii="微软雅黑" w:hAnsi="微软雅黑" w:eastAsia="微软雅黑" w:cs="微软雅黑"/>
          <w:color w:val="auto"/>
          <w:kern w:val="0"/>
          <w:szCs w:val="21"/>
          <w:highlight w:val="none"/>
          <w:shd w:val="clear" w:color="auto" w:fill="FFFFFF"/>
          <w:lang w:bidi="ar"/>
        </w:rPr>
        <w:t>等矿产原料。依据本公司供应链调查机制及相关管理要求，对相关重点供应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商冲突矿产来源信息进行核查，识别及管控可能存在的潜在风险，推动供应商制定政策和机制不使用来自冲突或高风险地区矿产。</w:t>
      </w:r>
    </w:p>
    <w:p>
      <w:pPr>
        <w:widowControl/>
        <w:shd w:val="clear" w:color="auto" w:fill="FFFFFF"/>
        <w:adjustRightInd w:val="0"/>
        <w:snapToGrid w:val="0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</w:p>
    <w:p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  <w:t>政策适用范围 </w:t>
      </w:r>
    </w:p>
    <w:p>
      <w:pPr>
        <w:widowControl/>
        <w:shd w:val="clear" w:color="auto" w:fill="FFFFFF"/>
        <w:adjustRightInd w:val="0"/>
        <w:snapToGrid w:val="0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适用于本公司及旗下所有子公司、分公司。管控矿产包括：锡、钽、钨、金（3TG）及钴、云母、镍、锂等来自受冲突影响和高风险区域矿产（简称“冲突矿产”）。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  <w:t>二、核心承诺与管理要求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1、无冲突采购承诺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    本公司公开承诺：</w:t>
      </w:r>
      <w:r>
        <w:rPr>
          <w:rFonts w:hint="eastAsia" w:ascii="微软雅黑" w:hAnsi="微软雅黑" w:eastAsia="微软雅黑" w:cs="微软雅黑"/>
          <w:color w:val="auto"/>
          <w:kern w:val="0"/>
          <w:szCs w:val="21"/>
          <w:highlight w:val="none"/>
          <w:shd w:val="clear" w:color="auto" w:fill="FFFFFF"/>
          <w:lang w:bidi="ar"/>
        </w:rPr>
        <w:t>依据本公司供应链调查机制及相关管理要求，不采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购及不支持使用来自冲突或高风险地区矿产，坚决抵制涉及人权侵犯、武装资助、严重环境破坏、强迫劳动及雇佣童工等违规场景的矿产材料。</w:t>
      </w:r>
    </w:p>
    <w:p>
      <w:pPr>
        <w:widowControl/>
        <w:numPr>
          <w:ilvl w:val="0"/>
          <w:numId w:val="2"/>
        </w:numPr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供应链可追溯体系</w:t>
      </w:r>
    </w:p>
    <w:p>
      <w:pPr>
        <w:widowControl/>
        <w:shd w:val="clear" w:color="auto" w:fill="FFFFFF"/>
        <w:adjustRightInd w:val="0"/>
        <w:snapToGrid w:val="0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本公司将致力于建设供应链可追溯体系，要求供应商如实申报矿产种类及用量、提供上游冶炼厂信息，按统一模板提交矿产来源申报表，并鼓励供应商将相关要求逐级传递至上游供应商，逐步实现全链条来源可溯。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3、供应商准入与合同约束</w:t>
      </w:r>
    </w:p>
    <w:p>
      <w:pPr>
        <w:widowControl/>
        <w:shd w:val="clear" w:color="auto" w:fill="FFFFFF"/>
        <w:adjustRightInd w:val="0"/>
        <w:snapToGrid w:val="0"/>
        <w:ind w:firstLine="420" w:firstLineChars="20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本公司已将冲突矿产合规要求纳入供应商行为准则及《供应商社会责任承诺书》 ，作为供应商准入的必要条件。新供应商准入时，必须签署《供应商社会责任承诺书》并提交完整的冲突矿产申报信息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4、年度调查</w:t>
      </w:r>
    </w:p>
    <w:p>
      <w:pPr>
        <w:widowControl/>
        <w:shd w:val="clear" w:color="auto" w:fill="FFFFFF"/>
        <w:adjustRightInd w:val="0"/>
        <w:snapToGrid w:val="0"/>
        <w:ind w:firstLine="420" w:firstLineChars="200"/>
        <w:jc w:val="left"/>
        <w:rPr>
          <w:rFonts w:ascii="微软雅黑" w:hAnsi="微软雅黑" w:eastAsia="微软雅黑" w:cs="微软雅黑"/>
          <w:color w:val="auto"/>
          <w:kern w:val="0"/>
          <w:szCs w:val="21"/>
          <w:highlight w:val="none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auto"/>
          <w:kern w:val="0"/>
          <w:szCs w:val="21"/>
          <w:highlight w:val="none"/>
          <w:shd w:val="clear" w:color="auto" w:fill="FFFFFF"/>
          <w:lang w:bidi="ar"/>
        </w:rPr>
        <w:t>依据本公司供应链调查机制及相关管理要求，开展相关重点供应商冲突矿产排查，收集并核实冲突矿产信息。按照本公司调查流程，识别、评估和管理相关重点供应商的冲突矿产风险，持续完善从矿产原产地到最终产品的追溯管理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  <w:t>三、供应链风险评估与处置</w:t>
      </w:r>
    </w:p>
    <w:p>
      <w:pPr>
        <w:widowControl/>
        <w:shd w:val="clear" w:color="auto" w:fill="FFFFFF"/>
        <w:adjustRightInd w:val="0"/>
        <w:snapToGrid w:val="0"/>
        <w:ind w:firstLine="478" w:firstLineChars="228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本公司将定期评估相关重点供应商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val="en-US" w:eastAsia="zh-CN" w:bidi="ar"/>
        </w:rPr>
        <w:t>的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冲突矿产核查情况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eastAsia="zh-CN" w:bidi="ar"/>
        </w:rPr>
        <w:t>，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明确已识别的冲突矿产高风险供应商数量及具体风险类型。针对冲突矿产高风险供应商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val="en-US" w:eastAsia="zh-CN" w:bidi="ar"/>
        </w:rPr>
        <w:t>进行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跟踪整改，使其完成不合格冶炼厂的替换或合规认证的推进工作，拒绝配合整改供应商可能失去合格供方资质。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  <w:t>四、信息披露与报告</w:t>
      </w:r>
    </w:p>
    <w:p>
      <w:pPr>
        <w:widowControl/>
        <w:shd w:val="clear" w:color="auto" w:fill="FFFFFF"/>
        <w:adjustRightInd w:val="0"/>
        <w:snapToGrid w:val="0"/>
        <w:ind w:firstLine="478" w:firstLineChars="228"/>
        <w:jc w:val="left"/>
        <w:rPr>
          <w:rFonts w:ascii="微软雅黑" w:hAnsi="微软雅黑" w:eastAsia="微软雅黑" w:cs="微软雅黑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shd w:val="clear" w:color="auto" w:fill="FFFFFF"/>
          <w:lang w:bidi="ar"/>
        </w:rPr>
        <w:t>本公司将在每年的ESG年报中专门披露冲突矿产管理情况 。此外，将根据客户要求及相关法律法规规定，及时提交冲突矿产专项报告。</w:t>
      </w:r>
      <w:bookmarkStart w:id="0" w:name="_GoBack"/>
      <w:bookmarkEnd w:id="0"/>
    </w:p>
    <w:p>
      <w:pPr>
        <w:widowControl/>
        <w:shd w:val="clear" w:color="auto" w:fill="FFFFFF"/>
        <w:adjustRightInd w:val="0"/>
        <w:snapToGrid w:val="0"/>
        <w:rPr>
          <w:rFonts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Cs w:val="21"/>
          <w:shd w:val="clear" w:color="auto" w:fill="FFFFFF"/>
          <w:lang w:bidi="ar"/>
        </w:rPr>
        <w:t>五、申诉与监督机制</w:t>
      </w:r>
    </w:p>
    <w:p>
      <w:pPr>
        <w:widowControl/>
        <w:shd w:val="clear" w:color="auto" w:fill="FFFFFF"/>
        <w:adjustRightInd w:val="0"/>
        <w:snapToGrid w:val="0"/>
        <w:ind w:firstLine="478" w:firstLineChars="228"/>
        <w:jc w:val="left"/>
        <w:rPr>
          <w:rFonts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本公司建立了完善的利益相关方反馈机制，设立了专门的举报渠道，接受社会各界对本公司供应链冲突矿产问题的监督与举报。</w:t>
      </w:r>
    </w:p>
    <w:p>
      <w:pPr>
        <w:widowControl/>
        <w:shd w:val="clear" w:color="auto" w:fill="FFFFFF"/>
        <w:adjustRightInd w:val="0"/>
        <w:snapToGrid w:val="0"/>
        <w:ind w:firstLine="478" w:firstLineChars="228"/>
        <w:jc w:val="left"/>
        <w:rPr>
          <w:rFonts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- 举报邮箱：[</w:t>
      </w:r>
      <w:r>
        <w:fldChar w:fldCharType="begin"/>
      </w:r>
      <w:r>
        <w:instrText xml:space="preserve"> HYPERLINK "mailto:tousu@hnlens.com" </w:instrText>
      </w:r>
      <w:r>
        <w:fldChar w:fldCharType="separate"/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tousu@hnlens.com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fldChar w:fldCharType="end"/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shd w:val="clear" w:color="auto" w:fill="FFFFFF"/>
          <w:lang w:bidi="ar"/>
        </w:rPr>
        <w:t>]​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362473"/>
    <w:multiLevelType w:val="singleLevel"/>
    <w:tmpl w:val="9C362473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9836C7E"/>
    <w:multiLevelType w:val="singleLevel"/>
    <w:tmpl w:val="79836C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029"/>
    <w:rsid w:val="00020276"/>
    <w:rsid w:val="00090AB5"/>
    <w:rsid w:val="00155FD7"/>
    <w:rsid w:val="001F588B"/>
    <w:rsid w:val="00216C84"/>
    <w:rsid w:val="00431029"/>
    <w:rsid w:val="00513301"/>
    <w:rsid w:val="005B0D72"/>
    <w:rsid w:val="00660C65"/>
    <w:rsid w:val="007A3BA1"/>
    <w:rsid w:val="008629E9"/>
    <w:rsid w:val="008B0031"/>
    <w:rsid w:val="008E717D"/>
    <w:rsid w:val="008F591A"/>
    <w:rsid w:val="00A10F9E"/>
    <w:rsid w:val="00AD5B91"/>
    <w:rsid w:val="00BB7F77"/>
    <w:rsid w:val="00BD7BE2"/>
    <w:rsid w:val="00CC625C"/>
    <w:rsid w:val="00D948E9"/>
    <w:rsid w:val="00FA35B8"/>
    <w:rsid w:val="027C4EB3"/>
    <w:rsid w:val="04E00447"/>
    <w:rsid w:val="062E1E31"/>
    <w:rsid w:val="081312B7"/>
    <w:rsid w:val="08F12CBE"/>
    <w:rsid w:val="0B145BF8"/>
    <w:rsid w:val="0C333012"/>
    <w:rsid w:val="0DED7AE3"/>
    <w:rsid w:val="0E10728C"/>
    <w:rsid w:val="0FA4139B"/>
    <w:rsid w:val="116F4515"/>
    <w:rsid w:val="137F1768"/>
    <w:rsid w:val="13A127AA"/>
    <w:rsid w:val="154F5804"/>
    <w:rsid w:val="15782A56"/>
    <w:rsid w:val="16044680"/>
    <w:rsid w:val="18C140E3"/>
    <w:rsid w:val="19855679"/>
    <w:rsid w:val="1ADB5D99"/>
    <w:rsid w:val="1DD27F9E"/>
    <w:rsid w:val="1E3A7A91"/>
    <w:rsid w:val="1EA85B59"/>
    <w:rsid w:val="1FB52737"/>
    <w:rsid w:val="20AE3F74"/>
    <w:rsid w:val="24D1196A"/>
    <w:rsid w:val="26732A16"/>
    <w:rsid w:val="27897640"/>
    <w:rsid w:val="27901DB1"/>
    <w:rsid w:val="28D415C2"/>
    <w:rsid w:val="2C353533"/>
    <w:rsid w:val="2D160AC5"/>
    <w:rsid w:val="2EBB24A1"/>
    <w:rsid w:val="32FC7863"/>
    <w:rsid w:val="3504124B"/>
    <w:rsid w:val="38775E84"/>
    <w:rsid w:val="390900F9"/>
    <w:rsid w:val="395B1BD4"/>
    <w:rsid w:val="39A11B2B"/>
    <w:rsid w:val="3BA928B3"/>
    <w:rsid w:val="3C88089D"/>
    <w:rsid w:val="3C9B7956"/>
    <w:rsid w:val="42F70183"/>
    <w:rsid w:val="4916521E"/>
    <w:rsid w:val="49896EDA"/>
    <w:rsid w:val="49A632F3"/>
    <w:rsid w:val="4CB61609"/>
    <w:rsid w:val="4CC10DCC"/>
    <w:rsid w:val="4D5E1C4D"/>
    <w:rsid w:val="51444838"/>
    <w:rsid w:val="51750A31"/>
    <w:rsid w:val="52CD33DE"/>
    <w:rsid w:val="538F7CFB"/>
    <w:rsid w:val="55542586"/>
    <w:rsid w:val="56967B67"/>
    <w:rsid w:val="57B5768F"/>
    <w:rsid w:val="583C5DE8"/>
    <w:rsid w:val="58A47BD4"/>
    <w:rsid w:val="58D7329B"/>
    <w:rsid w:val="5A31278B"/>
    <w:rsid w:val="5EBB53CD"/>
    <w:rsid w:val="5F0946CC"/>
    <w:rsid w:val="602C0E0B"/>
    <w:rsid w:val="62795395"/>
    <w:rsid w:val="6A850A36"/>
    <w:rsid w:val="6B7C13D5"/>
    <w:rsid w:val="6C2E3DCF"/>
    <w:rsid w:val="6D2F2F44"/>
    <w:rsid w:val="6EC05183"/>
    <w:rsid w:val="6F1B313E"/>
    <w:rsid w:val="702D56B1"/>
    <w:rsid w:val="70DB557A"/>
    <w:rsid w:val="72FF4A25"/>
    <w:rsid w:val="743806C8"/>
    <w:rsid w:val="74C87E25"/>
    <w:rsid w:val="784C15AC"/>
    <w:rsid w:val="79B56D77"/>
    <w:rsid w:val="7B964025"/>
    <w:rsid w:val="7DAA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annotation subject"/>
    <w:basedOn w:val="2"/>
    <w:next w:val="2"/>
    <w:link w:val="15"/>
    <w:uiPriority w:val="0"/>
    <w:rPr>
      <w:b/>
      <w:bCs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Char"/>
    <w:basedOn w:val="9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文字 Char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Char"/>
    <w:basedOn w:val="14"/>
    <w:link w:val="7"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1085</Characters>
  <Lines>9</Lines>
  <Paragraphs>2</Paragraphs>
  <TotalTime>13</TotalTime>
  <ScaleCrop>false</ScaleCrop>
  <LinksUpToDate>false</LinksUpToDate>
  <CharactersWithSpaces>1273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2026-09-09T06:53:00Z</dcterms:created>
  <dc:creator>LL110621</dc:creator>
  <cp:lastModifiedBy>LYB83186</cp:lastModifiedBy>
  <cp:lastPrinted>2026-08-31T03:35:00Z</cp:lastPrinted>
  <dcterms:modified xsi:type="dcterms:W3CDTF">2026-09-10T09:46:24Z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142E315AE7D0467E8B724AEA5B67F83E</vt:lpwstr>
  </property>
</Properties>
</file>